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Trebuchet MS" w:cs="Trebuchet MS" w:eastAsia="Trebuchet MS" w:hAnsi="Trebuchet MS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rFonts w:ascii="Trebuchet MS" w:cs="Trebuchet MS" w:eastAsia="Trebuchet MS" w:hAnsi="Trebuchet MS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36"/>
                <w:szCs w:val="36"/>
                <w:u w:val="single"/>
                <w:rtl w:val="0"/>
              </w:rPr>
              <w:t xml:space="preserve">C.A.R.P.A. Mission 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Trebuchet MS" w:cs="Trebuchet MS" w:eastAsia="Trebuchet MS" w:hAnsi="Trebuchet MS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4"/>
                <w:szCs w:val="24"/>
                <w:rtl w:val="0"/>
              </w:rPr>
              <w:t xml:space="preserve">Submit a 3-5 sentence Mission Report to Director Wells at C.A.R.P.A. HQ explaining the causes of the Boston Massacre. To fulfill mission protocol, you must include: (1) more than one cause; (2) a clear explanation of the link between the cause and the Massacre; (3) at least two different sources of your information.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F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